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Střední škola polytechnická prochází proměnou</w:t>
      </w:r>
    </w:p>
    <w:p>
      <w:pPr/>
      <w:r>
        <w:rPr>
          <w:b w:val="1"/>
          <w:bCs w:val="1"/>
        </w:rPr>
        <w:t xml:space="preserve">Střední škola polytechnická v Havířově si uvědomuje, že v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b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w:t>
      </w:r>
    </w:p>
    <w:p>
      <w:pPr>
        <w:pStyle w:val="Heading1"/>
      </w:pPr>
      <w:r>
        <w:rPr>
          <w:sz w:val="36"/>
          <w:szCs w:val="36"/>
        </w:rPr>
        <w:t xml:space="preserve">Výstava Krok za krokem za našimi předky</w:t>
      </w:r>
    </w:p>
    <w:p>
      <w:pPr/>
      <w:r>
        <w:rPr>
          <w:b w:val="1"/>
          <w:bCs w:val="1"/>
        </w:rPr>
        <w:t xml:space="preserve">Klub genealogie a heraldiky při Městském kulturním středisku v Havířově uspořádal v Galerii Maryčka výstavu Krok za krokem za našimi předky. Součástí jsou nejen rodokmeny, ale i návody, jak pátrat v minulosti.</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2025-12-18T07:55:35+01:00</dcterms:created>
  <dcterms:modified xsi:type="dcterms:W3CDTF">2025-12-18T07:55:35+01:00</dcterms:modified>
</cp:coreProperties>
</file>

<file path=docProps/custom.xml><?xml version="1.0" encoding="utf-8"?>
<Properties xmlns="http://schemas.openxmlformats.org/officeDocument/2006/custom-properties" xmlns:vt="http://schemas.openxmlformats.org/officeDocument/2006/docPropsVTypes"/>
</file>