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Socháním se studénecké ženy "vyškrábou" z problémů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na ten popud vzniklo toto ytongové schování.” </w:t>
      </w:r>
    </w:p>
    <w:p>
      <w:pPr/>
      <w:r>
        <w:rPr/>
        <w:t xml:space="preserve">Volná tvůrčí skupina se začala scházet v září. Na konci října se tu začínají rýsovat první díla - hlavy propletené s živly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“Každá z nás si vybrala, co ta hlava bude znázorňovat, jestli to bude bohyně vod, stromů, země nebo nevím čeho.”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má být deset soch, které by měl ozdobit veřejný prostor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fotbalový turnaj O pohár Santé</w:t>
      </w:r>
    </w:p>
    <w:p>
      <w:pPr/>
      <w:r>
        <w:rPr>
          <w:b w:val="1"/>
          <w:bCs w:val="1"/>
        </w:rPr>
        <w:t xml:space="preserve">V Havířově se mohli opět setkat lidé s mentálním hendikepem různých organizací a stacionářů z regionu. A to na halovém fotbalovém turnaji, který každoročně pořádá Santé. Pohár si nakonec odnesli Medvědi z Čtyřlístku Ostrava.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10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2026-06-22T06:29:14+02:00</dcterms:created>
  <dcterms:modified xsi:type="dcterms:W3CDTF">2026-06-22T06:29:14+02:00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