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Nadace OKD ocenila nejlepší projekty roku</w:t>
      </w:r>
    </w:p>
    <w:p>
      <w:pPr/>
      <w:r>
        <w:rPr>
          <w:b w:val="1"/>
          <w:bCs w:val="1"/>
        </w:rPr>
        <w:t xml:space="preserve">Nadace OKD i letos předala ceny za nejlepší neziskové projekty roku. Uznání se dostalo i dvěma spolkům, které pomáhají lidem také v Havířově.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zahájil projekt snižování energetické náročnosti</w:t>
      </w:r>
    </w:p>
    <w:p>
      <w:pPr/>
      <w:r>
        <w:rPr>
          <w:b w:val="1"/>
          <w:bCs w:val="1"/>
        </w:rPr>
        <w:t xml:space="preserve">Havířov chce snižovat spotřebu energií ve svých budovách. Do projektu za 150 milionů korun je zahrnuto 22 objektů. Radnice počítá s roční úsporou ve výši téměř 15 milionů korun. Více o projektu objasnil v rozhovoru primátor Josef Bělica.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