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pronajala restauraci a opraví kolem i povrch</w:t>
      </w:r>
    </w:p>
    <w:p>
      <w:pPr/>
      <w:r>
        <w:rPr>
          <w:b w:val="1"/>
          <w:bCs w:val="1"/>
        </w:rPr>
        <w:t xml:space="preserve">Moravská Ostrava a Přívoz sehnala nového nájemce kdysi kultovní restaurace Blesk. Provozovatel prostory opravil a zachoval také původní dekorativní stěnu. Obvod teď chystá opravu přilehlých chodníků a regeneraci zeleně, a to především i v přilehlé ulici Výstavní. Zakázka má hodnotu 30 milionů korun.</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 </w:t>
      </w: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 </w:t>
      </w: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 </w:t>
      </w: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6-02-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