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MAS Frýdlantsko - Beskydy podporuje elektromobilitu</w:t>
      </w:r>
    </w:p>
    <w:p>
      <w:pPr/>
      <w:r>
        <w:rPr>
          <w:b w:val="1"/>
          <w:bCs w:val="1"/>
        </w:rPr>
        <w:t xml:space="preserve">Město Frýdlant nad Ostravicí a jeho příspěvkové organizace získaly za posledních 5 let přes Místní akční skupinu Frýdlantsko – Beskydy 18,5 milionu korun. Další organizace a zejména spolky z Frýdlantu takto získaly 5,6 milionu a letos se připravují k realizaci další projekty.</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2-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