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Architektonická perla Ostravy se otevřela veřejnosti</w:t>
      </w:r>
    </w:p>
    <w:p>
      <w:pPr/>
      <w:r>
        <w:rPr>
          <w:b w:val="1"/>
          <w:bCs w:val="1"/>
        </w:rPr>
        <w:t xml:space="preserve">V Ostravě povstala z popela architektonická perla – památkově chráněná Grosmannova vila. Její rekonstrukce trvala více než dva roky a vila byla veřejnosti zpřístupněna letos v dubnu, sto let od její kolaudace. Na návštěvníky z ní dýchne atmosféra první republiky.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</w:t>
      </w:r>
      <w:br/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Velké Ostravy jsou v plném proudu</w:t>
      </w:r>
    </w:p>
    <w:p>
      <w:pPr/>
      <w:r>
        <w:rPr>
          <w:b w:val="1"/>
          <w:bCs w:val="1"/>
        </w:rPr>
        <w:t xml:space="preserve">Oslavy sta let Velké Ostravy jsou v plném proudu a nabízejí bohatý program všeho druhu. Nachystány jsou přednášky, výstavy, hudební produkce, taneční workshopy a mnoho dalšího. Významné výročí si Ostrava připomíná ve velkém stylu.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2026-03-31T16:07:30+02:00</dcterms:created>
  <dcterms:modified xsi:type="dcterms:W3CDTF">2026-03-31T16:07:30+02:00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