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staví pro seniory nové bydlení</w:t>
      </w:r>
    </w:p>
    <w:p>
      <w:pPr/>
      <w:r>
        <w:rPr>
          <w:b w:val="1"/>
          <w:bCs w:val="1"/>
        </w:rPr>
        <w:t xml:space="preserve">Radnice v Horní Suché staví pro seniory tři rodinné domy, ve kterých bude dvanáct bezbariérových bytových jednotek. Projekt počítá s příjezdovou cestou, s místy pro parkování i s malými zahrádkami.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2026-04-01T11:18:14+02:00</dcterms:created>
  <dcterms:modified xsi:type="dcterms:W3CDTF">2026-04-01T11:18:14+02:00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