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Viktor Frešo vystavuje v ostravském Domě umění</w:t>
      </w:r>
    </w:p>
    <w:p>
      <w:pPr/>
      <w:r>
        <w:rPr>
          <w:b w:val="1"/>
          <w:bCs w:val="1"/>
        </w:rPr>
        <w:t xml:space="preserve">Velmi netradiční a zajímavou výstavu s názvem „Budoucí vzpomínky“ připravila ostravská Galerie výtvarných umění. Slovenský výtvarník Viktor Frešo je všestranným umělcem, zabývajícím se fotografií, malbou i sochařstvím. Ve své tvorbě využívá také multimediální nástroje a dodává svým objektům další rozměry.</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0-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2026-05-24T13:34:30+02:00</dcterms:created>
  <dcterms:modified xsi:type="dcterms:W3CDTF">2026-05-24T13:34:30+02:00</dcterms:modified>
</cp:coreProperties>
</file>

<file path=docProps/custom.xml><?xml version="1.0" encoding="utf-8"?>
<Properties xmlns="http://schemas.openxmlformats.org/officeDocument/2006/custom-properties" xmlns:vt="http://schemas.openxmlformats.org/officeDocument/2006/docPropsVTypes"/>
</file>