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p>
      <w:pPr/>
      <w:r>
        <w:rPr/>
        <w:t xml:space="preserve">---</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(ODS)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Brabec,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1-07-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