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Malá Kodaň znovu uzavřela nábřeží</w:t>
      </w:r>
    </w:p>
    <w:p>
      <w:pPr/>
      <w:r>
        <w:rPr>
          <w:b w:val="1"/>
          <w:bCs w:val="1"/>
        </w:rPr>
        <w:t xml:space="preserve">Část Havlíčkova nábřeží u mostu Miloše Sýkory se po roce opět uzavřela všem motorovým vozidlům. Ulice se proměnila v oblíbenou pěší zónu Malá Kodaň, která letos návštěvníkům nabízí ještě bohatší kulturní program.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žila pětidenním festivalem Folklor bez hranic</w:t>
      </w:r>
    </w:p>
    <w:p>
      <w:pPr/>
      <w:r>
        <w:rPr>
          <w:b w:val="1"/>
          <w:bCs w:val="1"/>
        </w:rPr>
        <w:t xml:space="preserve">Město Ostrava žilo několik dnů folklorem. Soubory z regionu i zahraniční se postupně představily v pěti obvodech. Všechny soubory pak vystoupily v pátek na Slezskoostravském hradě.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9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2026-04-13T14:57:14+02:00</dcterms:created>
  <dcterms:modified xsi:type="dcterms:W3CDTF">2026-04-13T14:57:14+02:00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