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w:t>
      </w:r>
      <w:b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w:t>
      </w:r>
      <w:b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w:t>
      </w:r>
      <w:br/>
    </w:p>
    <w:p>
      <w:pPr/>
      <w:r>
        <w:rPr/>
        <w:t xml:space="preserve">---</w:t>
      </w:r>
    </w:p>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r>
        <w:rPr/>
        <w:t xml:space="preserve">Krátké zprávy 21. 8. 2024 17.00 - 1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t xml:space="preserve">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r>
        <w:rPr/>
        <w:t xml:space="preserve">Krátké zprávy 21. 8. 2024 17.00 - 2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b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2026-01-02T23:51:30+01:00</dcterms:created>
  <dcterms:modified xsi:type="dcterms:W3CDTF">2026-01-02T23:51:30+01:00</dcterms:modified>
</cp:coreProperties>
</file>

<file path=docProps/custom.xml><?xml version="1.0" encoding="utf-8"?>
<Properties xmlns="http://schemas.openxmlformats.org/officeDocument/2006/custom-properties" xmlns:vt="http://schemas.openxmlformats.org/officeDocument/2006/docPropsVTypes"/>
</file>