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participativní rozpočet jde do finále</w:t>
      </w:r>
    </w:p>
    <w:p>
      <w:pPr/>
      <w:r>
        <w:rPr>
          <w:b w:val="1"/>
          <w:bCs w:val="1"/>
        </w:rPr>
        <w:t xml:space="preserve">Porubský participativní rozpočet, který funguje od roku 2016, letos změnil název ze Zelená Porubě na Naše Poruba. Nápady do letošníhoho ročníku mohli lidé posílat od začátku roku.</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2026-07-07T04:58:27+02:00</dcterms:created>
  <dcterms:modified xsi:type="dcterms:W3CDTF">2026-07-07T04:58:27+02:00</dcterms:modified>
</cp:coreProperties>
</file>

<file path=docProps/custom.xml><?xml version="1.0" encoding="utf-8"?>
<Properties xmlns="http://schemas.openxmlformats.org/officeDocument/2006/custom-properties" xmlns:vt="http://schemas.openxmlformats.org/officeDocument/2006/docPropsVTypes"/>
</file>