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Ostrava začne přijímat žádosti o dotace 29. října</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t xml:space="preserve">Zbyněk Pražák (KDU-ČSL), náměstek primátora Ostravy: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t xml:space="preserve">Zdeněk Živčák, vedoucí odboru sociálních věcí MMO: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w:t>
      </w:r>
    </w:p>
    <w:p>
      <w:pPr/>
      <w:r>
        <w:rPr/>
        <w:t xml:space="preserve">Zbyněk Pražák (KDU-ČSL), náměstek primátora Ostravy: "</w:t>
      </w:r>
    </w:p>
    <w:p>
      <w:pPr/>
      <w:r>
        <w:rPr/>
        <w:t xml:space="preserve">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2026-03-27T15:54:44+01:00</dcterms:created>
  <dcterms:modified xsi:type="dcterms:W3CDTF">2026-03-27T15:54:44+01:00</dcterms:modified>
</cp:coreProperties>
</file>

<file path=docProps/custom.xml><?xml version="1.0" encoding="utf-8"?>
<Properties xmlns="http://schemas.openxmlformats.org/officeDocument/2006/custom-properties" xmlns:vt="http://schemas.openxmlformats.org/officeDocument/2006/docPropsVTypes"/>
</file>