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dá na sport 179 milionů korun</w:t>
      </w:r>
    </w:p>
    <w:p>
      <w:pPr/>
      <w:r>
        <w:rPr>
          <w:b w:val="1"/>
          <w:bCs w:val="1"/>
        </w:rPr>
        <w:t xml:space="preserve">Ostrava je městem a sportu a v jeho podpoře nešetří financemi. Na příští rok rozdělí mezi sportovní kluby 180 milionů korun. Dotační programy jsou celkem čtyři, ale dvě třetiny peněz jdou na podporu významných sportovních klubů.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od Nextbiku budou v Ostravě pokračovat</w:t>
      </w:r>
    </w:p>
    <w:p>
      <w:pPr/>
      <w:r>
        <w:rPr>
          <w:b w:val="1"/>
          <w:bCs w:val="1"/>
        </w:rPr>
        <w:t xml:space="preserve">Sdílení jízdních kol v Ostravě se už stalo běžnou součástí dopravy mnoha obyvatel. V posledních letech se o provoz stará společnost Nextbike, která nabídla městu nejlepší podmínky a bude tomu tak i v následujících dvou letech. Radní už schválili uzavření nové smlouvy.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12-2024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2026-05-25T18:07:53+02:00</dcterms:created>
  <dcterms:modified xsi:type="dcterms:W3CDTF">2026-05-25T18:07:53+02:00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