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2024, město se daří rozvíjet</w:t>
      </w:r>
    </w:p>
    <w:p>
      <w:pPr/>
      <w:r>
        <w:rPr>
          <w:b w:val="1"/>
          <w:bCs w:val="1"/>
        </w:rPr>
        <w:t xml:space="preserve">Primátor Frýdku-Místku Petr Korč bilancoval rok 2024 jako období plné výzev i úspěchů. Město dokončilo řadu klíčových projektů v infrastruktuře, školství i sportu. Zároveň představil i několik vizí do budoucna. Především podporu mládežnického sportu, investice do městské infrastruktury a rozvoj kulturního a volnočasového zázemí.</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2026-03-17T15:16:05+01:00</dcterms:created>
  <dcterms:modified xsi:type="dcterms:W3CDTF">2026-03-17T15:16:05+01:00</dcterms:modified>
</cp:coreProperties>
</file>

<file path=docProps/custom.xml><?xml version="1.0" encoding="utf-8"?>
<Properties xmlns="http://schemas.openxmlformats.org/officeDocument/2006/custom-properties" xmlns:vt="http://schemas.openxmlformats.org/officeDocument/2006/docPropsVTypes"/>
</file>