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Souhrn největších investičních akcí roku 2024</w:t>
      </w:r>
    </w:p>
    <w:p>
      <w:pPr/>
      <w:r>
        <w:rPr>
          <w:b w:val="1"/>
          <w:bCs w:val="1"/>
        </w:rPr>
        <w:t xml:space="preserve">Otevření nové budovy městské policie, pořízení Českého domu, úprava veřejného prostoru nebo investice do školství a sociální oblasti. Náměstek primátora Jiří Kajzar zhodnotil nejdůležitější projekty roku 2024 a také nastínil plány do budoucna.</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2026-03-20T18:40:25+01:00</dcterms:created>
  <dcterms:modified xsi:type="dcterms:W3CDTF">2026-03-20T18:40:25+01:00</dcterms:modified>
</cp:coreProperties>
</file>

<file path=docProps/custom.xml><?xml version="1.0" encoding="utf-8"?>
<Properties xmlns="http://schemas.openxmlformats.org/officeDocument/2006/custom-properties" xmlns:vt="http://schemas.openxmlformats.org/officeDocument/2006/docPropsVTypes"/>
</file>