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měla rekordní rok</w:t>
      </w:r>
    </w:p>
    <w:p>
      <w:pPr/>
      <w:r>
        <w:rPr>
          <w:b w:val="1"/>
          <w:bCs w:val="1"/>
        </w:rPr>
        <w:t xml:space="preserve">Ostravská zoologická zahrada má za sebou další úspěšný rok. Znovu byla překonána rekordní návštěvnost z roku 2023. Podařilo se odchovat přes 1 500 mláďat a byla mezi nimi řada velmi vzácných zvířat.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vítěz Macháč i prezident republiky Pavel zahájili ODM</w:t>
      </w:r>
    </w:p>
    <w:p>
      <w:pPr/>
      <w:r>
        <w:rPr>
          <w:b w:val="1"/>
          <w:bCs w:val="1"/>
        </w:rPr>
        <w:t xml:space="preserve">Dvaadvacátý ročník Olympiády dětí a mládeže, který hostí MS kraj, byl zahájen. Vyprodaná třinecká Werk Aréna sledovala slavnostní nástup čtrnácti krajských reprezentací a také zapálení olympijského ohně.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2025-12-19T21:48:16+01:00</dcterms:created>
  <dcterms:modified xsi:type="dcterms:W3CDTF">2025-12-19T21:48:16+01:00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