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vstupu do úřadu se o měsíc prodlouží</w:t>
      </w:r>
    </w:p>
    <w:p>
      <w:pPr/>
      <w:r>
        <w:rPr>
          <w:b w:val="1"/>
          <w:bCs w:val="1"/>
        </w:rPr>
        <w:t xml:space="preserve">Oprava vstupu do budovy městského úřadu na Divadelní ulici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Badatelská hra v muzeu přiblíží práci archeologů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sport, který táhne, stále více i děvčata</w:t>
      </w:r>
    </w:p>
    <w:p>
      <w:pPr/>
      <w:r>
        <w:rPr>
          <w:b w:val="1"/>
          <w:bCs w:val="1"/>
        </w:rPr>
        <w:t xml:space="preserve">Práce s mládeží je alfou a omegou činnosti zápasnického oddílu v Novém Jičíně. Děti tu mají možnost celkového pohybového rozvoje a brzy mohou vstoupit i do různých soutěží.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 </w:t>
      </w:r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2026-05-03T09:32:02+02:00</dcterms:created>
  <dcterms:modified xsi:type="dcterms:W3CDTF">2026-05-03T09:32:02+02:00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