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nejlepší zdravotníky</w:t>
      </w:r>
    </w:p>
    <w:p>
      <w:pPr/>
      <w:r>
        <w:rPr>
          <w:b w:val="1"/>
          <w:bCs w:val="1"/>
        </w:rPr>
        <w:t xml:space="preserve">Město Karviná opět ocenilo nejlepší zdravotníky. Slavmostní ceremoniál se uskutečnil na zámku Fryštát v Karviné a bylo oceněno celkem jedenáct osobností a kolektivů.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Hodnotil se nejlepší ekovýrobek roku 2025</w:t>
      </w:r>
    </w:p>
    <w:p>
      <w:pPr/>
      <w:r>
        <w:rPr>
          <w:b w:val="1"/>
          <w:bCs w:val="1"/>
        </w:rPr>
        <w:t xml:space="preserve">V Karviné se opět uskutečnila soutěž o nejlepší ekovýrobek roku, které se účastnili žáci zdejších základních škol. Se svým výrobkem uspěli nejen u veřejnosti, ale také u Odboru komunálních služeb, který soutěž pořádal.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2026-02-15T10:30:02+01:00</dcterms:created>
  <dcterms:modified xsi:type="dcterms:W3CDTF">2026-02-15T10:30:02+01:00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