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je už nyní připravena čelit povodním ještě lépe</w:t>
      </w:r>
    </w:p>
    <w:p>
      <w:pPr/>
      <w:r>
        <w:rPr>
          <w:b w:val="1"/>
          <w:bCs w:val="1"/>
        </w:rPr>
        <w:t xml:space="preserve">Tlaková níže Gabriel nakonec neudeřila takovou silou, jak hrozily předpovědní modely a tak zůstala i Ostrava v bezpečí. Přesto ale bylo město dobře připraveno i díky zkušenostem z podzimní povodně. V podobných situacích jsou důležitou součástí bezpečnosti dobrovolní hasiči, které město dovybavuje a chystá se je i odměnit.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 ubytoven bude platit vyšší daň z nemovitosti</w:t>
      </w:r>
    </w:p>
    <w:p>
      <w:pPr/>
      <w:r>
        <w:rPr>
          <w:b w:val="1"/>
          <w:bCs w:val="1"/>
        </w:rPr>
        <w:t xml:space="preserve">Ostrava vybrala sedm ubytoven, které budou platit vyšší daň z nemovitosti. Jejich obyvatelé prokazatelně působí dlouhodobě  a opakovaně problémy a znepříjemňují život svému okolí. Zvýšení koeficientu navrhl nejlidnatější obvod Jih.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přijalo závěry odborníků o Bedřišce</w:t>
      </w:r>
    </w:p>
    <w:p>
      <w:pPr/>
      <w:r>
        <w:rPr>
          <w:b w:val="1"/>
          <w:bCs w:val="1"/>
        </w:rPr>
        <w:t xml:space="preserve">Osada Bedřiška přestane v průběhu následujících let v současné podobě existovat. Ostrava se ztotožnila se závěry pracovní skupiny, která nedoporučila investovat další peníze do této lokality. Mariánské Hory a Hulváky tak budou pokračovat v přestěhovávání tamních obyvatel do jiných částí města.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2026-03-16T18:53:06+01:00</dcterms:created>
  <dcterms:modified xsi:type="dcterms:W3CDTF">2026-03-16T18:53:06+01:00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