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zubaři v Ostravě-Jihu stále přijímají klienty</w:t>
      </w:r>
    </w:p>
    <w:p>
      <w:pPr/>
      <w:r>
        <w:rPr>
          <w:b w:val="1"/>
          <w:bCs w:val="1"/>
        </w:rPr>
        <w:t xml:space="preserve">Nedostatek zubařů v MS kraji je problém zasahující až 150 tisíc lidí, kteří v současné době nemají stomatologa.  V Ostravě-Jihu se ale během posledních 2 měsíců otevřely 4 nové zubní ordinace. Následující reportáž osvětlí, jak a kdy se do nich mohou lidé přihlásit.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2026-02-10T10:00:00+01:00</dcterms:created>
  <dcterms:modified xsi:type="dcterms:W3CDTF">2026-02-10T10:00:00+01:00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