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22. zasedání zastupitelstva Karviné</w:t>
      </w:r>
    </w:p>
    <w:p>
      <w:pPr/>
      <w:r>
        <w:rPr>
          <w:b w:val="1"/>
          <w:bCs w:val="1"/>
        </w:rPr>
        <w:t xml:space="preserve">Uskutečnilo se 22. zasedání zastupitelstva města Karviné, kde se tentokrát projednávaly především body, týkající se zlepšení městského rozvoje a infrastruktury.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b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b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b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2026-02-13T18:42:25+01:00</dcterms:created>
  <dcterms:modified xsi:type="dcterms:W3CDTF">2026-02-13T18:42:25+01:00</dcterms:modified>
</cp:coreProperties>
</file>

<file path=docProps/custom.xml><?xml version="1.0" encoding="utf-8"?>
<Properties xmlns="http://schemas.openxmlformats.org/officeDocument/2006/custom-properties" xmlns:vt="http://schemas.openxmlformats.org/officeDocument/2006/docPropsVTypes"/>
</file>