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p>
    <w:p>
      <w:pPr/>
      <w:r>
        <w:rPr/>
        <w:t xml:space="preserve">Policisté od nedělního večera vyšetřují tragickou střelbu v centru Orlové poblíž gymnázia. V autě na parkovišti byli nalezeni mrtví muž a žena, přes veškerou snahu svědků i záchranářů se je nepodařilo oživit.</w:t>
      </w:r>
    </w:p>
    <w:p>
      <w:pPr/>
      <w:r>
        <w:rPr/>
        <w:t xml:space="preserve">Soňa Štětínská, mluvčí PČR MS kraje: “Aktuálně mohu říct, že dle dosud zjištěných informací měl bývalý partner ženu, oba jsou středního věku, zastřelit, a poté spáchat sebevraždu. Muž nebyl držitelem zbrojního průkazu, kriminalisté věc prověřují pro podezření ze zvlášť závažného zločinu vraždy a přečinu nedovoleného ozbrojování. Jedná se o tragický citlivý případ a bližší informace vzhledem k vyšetřování a ohledu k příbuzným, nebudeme poskytovat.”</w:t>
      </w:r>
    </w:p>
    <w:p>
      <w:pP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b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2026-02-12T19:07:02+01:00</dcterms:created>
  <dcterms:modified xsi:type="dcterms:W3CDTF">2026-02-12T19:07:02+01:00</dcterms:modified>
</cp:coreProperties>
</file>

<file path=docProps/custom.xml><?xml version="1.0" encoding="utf-8"?>
<Properties xmlns="http://schemas.openxmlformats.org/officeDocument/2006/custom-properties" xmlns:vt="http://schemas.openxmlformats.org/officeDocument/2006/docPropsVTypes"/>
</file>