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Řezbáři oživili betlémářskou tradici v Příboře</w:t>
      </w:r>
    </w:p>
    <w:p>
      <w:pPr/>
      <w:r>
        <w:rPr>
          <w:b w:val="1"/>
          <w:bCs w:val="1"/>
        </w:rPr>
        <w:t xml:space="preserve">Centrum tradičních technologií v Příboře zaplnila vůně dřeva, zvuk dlát a atmosféra blížících se Vánoc. Už podvanácté se zde konal sraz betlémářů ze severovýchodní a východní Moravy. 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Tradiční Vánoční jarmark opět zaplnil frýdecký zámek</w:t>
      </w:r>
    </w:p>
    <w:p>
      <w:pPr/>
      <w:r>
        <w:rPr>
          <w:b w:val="1"/>
          <w:bCs w:val="1"/>
        </w:rPr>
        <w:t xml:space="preserve">Frýdecký zámek se na jeden den proměnil v centrum vánoční atmosféry. Konal se tady tradiční Vánoční jarmark, který nabídl nejen desítky stánků, ale také bohatý kulturní program.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2026-03-30T09:55:38+02:00</dcterms:created>
  <dcterms:modified xsi:type="dcterms:W3CDTF">2026-03-30T09:55:38+02:00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