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významných událostí Havířova roku 2025</w:t>
      </w:r>
    </w:p>
    <w:p>
      <w:pPr/>
      <w:r>
        <w:rPr>
          <w:b w:val="1"/>
          <w:bCs w:val="1"/>
        </w:rPr>
        <w:t xml:space="preserve">Události, které hýbaly Havířovem. Rok 2025 přinesl investice, oslavy i výjimečné okamžiky v životě města. Přinášíme jejich přehled v závěrečném sestřihu.</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w:t>
      </w:r>
      <w:br/>
      <w:r>
        <w:rPr/>
        <w:t xml:space="preserve"> </w:t>
      </w:r>
      <w:b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w:t>
      </w:r>
      <w:br/>
      <w:r>
        <w:rPr/>
        <w:t xml:space="preserve"> </w:t>
      </w:r>
      <w:b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2026-02-11T22:40:47+01:00</dcterms:created>
  <dcterms:modified xsi:type="dcterms:W3CDTF">2026-02-11T22:40:47+01:00</dcterms:modified>
</cp:coreProperties>
</file>

<file path=docProps/custom.xml><?xml version="1.0" encoding="utf-8"?>
<Properties xmlns="http://schemas.openxmlformats.org/officeDocument/2006/custom-properties" xmlns:vt="http://schemas.openxmlformats.org/officeDocument/2006/docPropsVTypes"/>
</file>