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Přístavba pro speciální výuku na ZŠ Ukrajinské v Porubě</w:t>
      </w:r>
    </w:p>
    <w:p>
      <w:pPr/>
      <w:r>
        <w:rPr>
          <w:b w:val="1"/>
          <w:bCs w:val="1"/>
        </w:rPr>
        <w:t xml:space="preserve">V Ostravě-Porubě se rozšiřuje a modernizuje základní a mateřské škola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která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Kč.”</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t xml:space="preserve">---</w:t>
      </w:r>
    </w:p>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2026-04-06T23:27:36+02:00</dcterms:created>
  <dcterms:modified xsi:type="dcterms:W3CDTF">2026-04-06T23:27:36+02:00</dcterms:modified>
</cp:coreProperties>
</file>

<file path=docProps/custom.xml><?xml version="1.0" encoding="utf-8"?>
<Properties xmlns="http://schemas.openxmlformats.org/officeDocument/2006/custom-properties" xmlns:vt="http://schemas.openxmlformats.org/officeDocument/2006/docPropsVTypes"/>
</file>