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opět zaplatí projekty navržené přímo lidmi</w:t>
      </w:r>
    </w:p>
    <w:p>
      <w:pPr/>
      <w:r>
        <w:rPr>
          <w:b w:val="1"/>
          <w:bCs w:val="1"/>
        </w:rPr>
        <w:t xml:space="preserve">Po úspěšných čtyřech ročnících participativního rozpočtu má město Frýdlant nad Ostravicí vyhrazené další finanční prostředky pro nové projekty navrhované přímo občany.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