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pokračuje v investičních akcích</w:t>
      </w:r>
    </w:p>
    <w:p>
      <w:pPr/>
      <w:r>
        <w:rPr>
          <w:b w:val="1"/>
          <w:bCs w:val="1"/>
        </w:rPr>
        <w:t xml:space="preserve">Město Jablunkov pokračuje v dokončování investičních akcí a další stavby má připravené i v letošním roce.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2026-02-08T21:40:03+01:00</dcterms:created>
  <dcterms:modified xsi:type="dcterms:W3CDTF">2026-02-08T21:40:03+01:00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