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chystá pátou úpravu Územního plánu města</w:t>
      </w:r>
    </w:p>
    <w:p>
      <w:pPr/>
      <w:r>
        <w:rPr>
          <w:b w:val="1"/>
          <w:bCs w:val="1"/>
        </w:rPr>
        <w:t xml:space="preserve">Ostrava chystá úpravu územního plánu. Týká se jednak sladění s novým stavebním zákonem a druhá část je věnována konkrétním změnám v území. Ty se týkají například rozvoje bydlení, sportovní infrastruktury nebo v případě Heřmanického odvalu zajištění bezpečnosti.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Dražit se bude hlavně kvalitní dub, jasan a modřín</w:t>
      </w:r>
    </w:p>
    <w:p>
      <w:pPr/>
      <w:r>
        <w:rPr>
          <w:b w:val="1"/>
          <w:bCs w:val="1"/>
        </w:rPr>
        <w:t xml:space="preserve">V Ostravě se schyluje k už třetí aukci kvalitního dříví, vhodného pro další zpracování. Aby byl sortiment co nejbohatší domluvila se společnost Ostravské městské lesy s dalšími vlastníky lesů v celé republice a aukce tak bude společná.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2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