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skládce v Ostravě končí stále méně odpadu</w:t>
      </w:r>
    </w:p>
    <w:p>
      <w:pPr/>
      <w:r>
        <w:rPr>
          <w:b w:val="1"/>
          <w:bCs w:val="1"/>
        </w:rPr>
        <w:t xml:space="preserve">Ostrava může být ostatním městům vzorem v odpadovém hospodářství. Díky unikátní třídící lince jde na skládku mnohem méně odpadu a navíc umí městská společnost OZO velké množství vytříděného materiálu dále zužitkovat až už recyklací nebo energeticky. Problémem je velkoobjemový odpad a nezájem energetických firem.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2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2026-05-20T15:47:47+02:00</dcterms:created>
  <dcterms:modified xsi:type="dcterms:W3CDTF">2026-05-20T15:47:47+02:00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