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Truhlářský kurz pro veřejnost na SŠ řemesel F-M</w:t>
      </w:r>
    </w:p>
    <w:p>
      <w:pPr/>
      <w:r>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b w:val="1"/>
          <w:bCs w:val="1"/>
        </w:rPr>
        <w:t xml:space="preserve">Krajské kolo přírodovědné soutěže v Opavě</w:t>
      </w:r>
    </w:p>
    <w:p>
      <w:pPr/>
      <w:r>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 ”Těžká byla fyzika, ale jinak všechno v pohodě asi. “Nejlíp nám asi jde zatím chemie, laborky celkově nám jdou asi nejlépe, ale možná ta biologie. Biologie, tam jsme měli největší problém. Ale jinak nám to jde dobře. “Daří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b w:val="1"/>
          <w:bCs w:val="1"/>
        </w:rPr>
        <w:t xml:space="preserve">Těšínská karafa</w:t>
      </w:r>
    </w:p>
    <w:p>
      <w:pPr/>
      <w:r>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8-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2026-05-03T13:43:53+02:00</dcterms:created>
  <dcterms:modified xsi:type="dcterms:W3CDTF">2026-05-03T13:43:53+02:00</dcterms:modified>
</cp:coreProperties>
</file>

<file path=docProps/custom.xml><?xml version="1.0" encoding="utf-8"?>
<Properties xmlns="http://schemas.openxmlformats.org/officeDocument/2006/custom-properties" xmlns:vt="http://schemas.openxmlformats.org/officeDocument/2006/docPropsVTypes"/>
</file>