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Čeští a polští hasiči trénovali hašení lesního požáru</w:t>
      </w:r>
    </w:p>
    <w:p>
      <w:pPr/>
      <w:r>
        <w:rPr>
          <w:b w:val="1"/>
          <w:bCs w:val="1"/>
        </w:rPr>
        <w:t xml:space="preserve">Lesní požár, který zachvátil část hory na polském území u hranice s českým Bukovcem. Takový byl námět výcviku dobrovolných hasičů na Jablunkovsku.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8-05-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2026-05-18T12:47:24+02:00</dcterms:created>
  <dcterms:modified xsi:type="dcterms:W3CDTF">2026-05-18T12:47:24+02:00</dcterms:modified>
</cp:coreProperties>
</file>

<file path=docProps/custom.xml><?xml version="1.0" encoding="utf-8"?>
<Properties xmlns="http://schemas.openxmlformats.org/officeDocument/2006/custom-properties" xmlns:vt="http://schemas.openxmlformats.org/officeDocument/2006/docPropsVTypes"/>
</file>