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9.2.2012,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Ostravský magistrát zveřejnil mapu brownfieldů na území města</w:t>
      </w:r>
    </w:p>
    <w:p>
      <w:pPr/>
      <w:r>
        <w:rPr/>
        <w:t xml:space="preserve">Magistrát nyní zveřejnil na stránkách města a na stránkách dychamproostravu interaktivní mapu těchto území. U každého pozemku lze zjistit podrobnosti.</w:t>
      </w:r>
    </w:p>
    <w:p>
      <w:pPr/>
      <w:r>
        <w:rPr/>
        <w:t xml:space="preserve">Petr Kajnar (ČSSD), primátor Ostravy:</w:t>
      </w:r>
      <w:r>
        <w:rPr>
          <w:i w:val="1"/>
          <w:iCs w:val="1"/>
        </w:rPr>
        <w:t xml:space="preserve"> „Díky tomu, že je nemůžeme využívat, tak to město potřebujeme rozvíjet, nebo když ho rozvíjíme, tak na okrajích. Typickým příkladem je průmyslová zóna Hrabová, která má dne s 120 ha a to je 120 ha zemědělské půdy a kdybychom dokázali využívat ty věci na těch starých brownfieldech, tak bychom to nemuseli zabírat."   </w:t>
      </w:r>
    </w:p>
    <w:p>
      <w:pPr/>
      <w:r>
        <w:rPr/>
        <w:t xml:space="preserve">Problém ale je, že aby mohly být brownfields využity, musí být zbaveny ekologické zátěže. Takovým příkladem je například Hrušov, kde chce město vybudovat průmyslovou zónu. Nejprve ale musí brownfield vykoupit od jeho majitelů. Pak začne projekt tzv. gravitačního odvodnění. V Budoucnu by v Hrušově mělo pracovat až 2 tisíce lidí. Město nyní dořešuje problémy s výkupy a podle právníků dokonce hrozí, že některé pozemky budou vyvlastněny.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0247/ostravsky-magistrat-zverejnil-mapu-brownfieldu-na-uzemi-mes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2026-07-09T16:08:26+02:00</dcterms:created>
  <dcterms:modified xsi:type="dcterms:W3CDTF">2026-07-09T16:08:26+02:00</dcterms:modified>
</cp:coreProperties>
</file>

<file path=docProps/custom.xml><?xml version="1.0" encoding="utf-8"?>
<Properties xmlns="http://schemas.openxmlformats.org/officeDocument/2006/custom-properties" xmlns:vt="http://schemas.openxmlformats.org/officeDocument/2006/docPropsVTypes"/>
</file>