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letos investuje do školství téměř 900 milionů korun</w:t>
      </w:r>
    </w:p>
    <w:p>
      <w:pPr/>
      <w:r>
        <w:rPr/>
        <w:t xml:space="preserve">Milan Novotný, vedoucí odb. investic a majetku:</w:t>
      </w:r>
      <w:r>
        <w:rPr>
          <w:i w:val="1"/>
          <w:iCs w:val="1"/>
        </w:rPr>
        <w:t xml:space="preserve"> "My máme prioritu čerpání evropských peněz, to je ta nejpodstatnější část v řádu asi 400 milionů korun, další polovina je ještě připravena pro rok 2013 a eventuálně dofinancování 14." </w:t>
      </w:r>
    </w:p>
    <w:p>
      <w:pPr/>
      <w:r>
        <w:rPr/>
        <w:t xml:space="preserve">Rozpočet kraje vyčleňuje v letošním roce nad rámec evropských projektů další dalších téměř 100 milionů korun. Z těchto peněz bude financováno asi 40 akcí jako například opravy sociálních zařízení, elektroinstalace, opravy střech nebo podlah v tělocvičnách.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319/kraj-letos-investuje-do-skolstvi-temer-90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2026-07-09T18:16:46+02:00</dcterms:created>
  <dcterms:modified xsi:type="dcterms:W3CDTF">2026-07-09T18:16:46+02:00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