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21.4.2016,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loni investoval nejvíce peněz v historii</w:t>
      </w:r>
    </w:p>
    <w:p>
      <w:pPr/>
      <w:r>
        <w:rPr/>
        <w:t xml:space="preserve">Skutečný příjem Moravskoslezského kraje v roce 2015 byl vyšší, než se předpokládalo a výdaje naopak nižší. Na konci roku tak zůstala na účtech miliarda a téměř 800 milionů korun. Z toho 568 milionů tvoří přebytek, který bude letos použit na investice. </w:t>
      </w:r>
    </w:p>
    <w:p>
      <w:pPr/>
      <w:r>
        <w:rPr/>
        <w:t xml:space="preserve">Miroslav Novák, hejtman MS kraje: “Způsoben je především tím, že jsme výrazně šetřili jak na veřejných zakázkách, tak na nákupu služeb prostřednictvím nákupního portálu. Úspora je ve výši sedmi procent rozpočtu.””</w:t>
      </w:r>
    </w:p>
    <w:p>
      <w:pPr/>
      <w:r>
        <w:rPr/>
        <w:t xml:space="preserve">Prioritou kraje bylo dočerpat evropské zdroje v rámci končícího programového období a to se povedlo. Kapitálové výdaje kraje byly rekordních 4 a půl miliardy korun. </w:t>
      </w:r>
    </w:p>
    <w:p>
      <w:pPr/>
      <w:r>
        <w:rPr/>
        <w:t xml:space="preserve">Miroslav Novák, hejtman MS kraje: “Největší investice byly do rekonstrukcí a oprav silnic, dále to byla integrovaná výjezdová centra a také to byly nemocnice ve Frýdku-Místku a Opavě.”</w:t>
      </w:r>
    </w:p>
    <w:p>
      <w:pPr/>
      <w:r>
        <w:rPr/>
        <w:t xml:space="preserve">Nejvíce - 970 milionů kraj investoval do silnic druhé a třetí třídy, 770 milionů do integrovaných výjezdových center a 530 milionů do vybavení hasičů.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3784/ms-kraj-loni-investoval-nejvice-penez-v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2026-09-15T16:53:32+02:00</dcterms:created>
  <dcterms:modified xsi:type="dcterms:W3CDTF">2026-09-15T16:53:32+02:00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