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 workshopy k soutěži Naše město</w:t>
      </w:r>
    </w:p>
    <w:p>
      <w:pPr/>
      <w:r>
        <w:rPr/>
        <w:t xml:space="preserve">Na jednom stanovišti tak měli například za úkol složit části známých budov nebo orlovského znaku dohromady. Na druhém pak zase přidělit městské budovy do správných městských částí. </w:t>
      </w:r>
    </w:p>
    <w:p>
      <w:pPr/>
      <w:r>
        <w:rPr/>
        <w:t xml:space="preserve">Po splnění všech úkolů si pracovníci muzea s dětmi všechny úkoly znovu prošli, aby si žáci zapamatovali nejdůležitější pojmy. </w:t>
      </w:r>
    </w:p>
    <w:p>
      <w:pPr/>
      <w:r>
        <w:rPr/>
        <w:t xml:space="preserve">Workshopy pro děti budou pokračovat v průběhu podzimu až do listopadu, kdy celý projekt vyvrcholí už zmiňovanou soutěží Naše město. Té se budou moci zúčastnit´ti nejlepší dva z každé třetí třídy základních škol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743/zacinaji-workshopy-k-soutezi-nas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2026-05-07T19:13:47+02:00</dcterms:created>
  <dcterms:modified xsi:type="dcterms:W3CDTF">2026-05-07T19:13:47+02:00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