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se otevře dětem, dospělí musí počkat</w:t>
      </w:r>
    </w:p>
    <w:p>
      <w:pPr/>
      <w:r>
        <w:rPr/>
        <w:t xml:space="preserve">Přestože oheň nebyl velký, saze a kouř způsobily škodu za 2 a půl milionu korun, zničeno bylo přibližně 14 tisíc knih. Obnova knihovny by měla být uhrazena z pojištění.</w:t>
      </w:r>
    </w:p>
    <w:p>
      <w:pPr/>
      <w:r>
        <w:rPr/>
        <w:t xml:space="preserve">Prostory knihovny jsou v těchto dnech už vymalovány. V oddělení pro dospělé pokládají koberce. Ještě se čeká na dodání žaluzií a na výsledky expertízy, která má posoudit stav počítačové techniky. Část počítačů ale musela být rovnou vyřazena. Knihovna teď intenzivně pracuje na doplnění knižního fond pro dospělé. V nejbližších dnech bude také vypsáno výběrové řízení na dodavatele protipožárních čidel. Náklady na jejich pořízení by se měly pohybovat kolem 200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13/knihovna-se-otevre-detem-dospeli-musi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2026-05-01T16:56:52+02:00</dcterms:created>
  <dcterms:modified xsi:type="dcterms:W3CDTF">2026-05-01T16:56:52+02:00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