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11.1.2017, 16:46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na rok 2017</w:t>
      </w:r>
    </w:p>
    <w:p>
      <w:pPr/>
      <w:r>
        <w:rPr/>
        <w:t xml:space="preserve">Z důvodu plánovaných investičních akcí je rozpočet plánován jako schodkový.  Příjmy 80,5 miliónu korun. Výdaje 101 miliónů korun. Schodek ve výši 20 milionů 500 tisíc korun bude vyrovnán jednak zůstatkem finančních prostředků z předchozích let a přijetím výhodného bankovního úvěru, o kterém jsme Vás již informovali. Mezi hlavní investiční akce, které jsou pro letošek naplánovány patří  výstavba  komunitních bytů pro seniory, výstavba nové mateřské školy na Dolanech spojená s přírodní zahradou a parkové úpravy kolem Hubertovy kapličky.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06980/zastupitele-schvalili-rozpocet-na-rok-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2026-06-15T06:36:04+02:00</dcterms:created>
  <dcterms:modified xsi:type="dcterms:W3CDTF">2026-06-15T06:36:04+02:00</dcterms:modified>
</cp:coreProperties>
</file>

<file path=docProps/custom.xml><?xml version="1.0" encoding="utf-8"?>
<Properties xmlns="http://schemas.openxmlformats.org/officeDocument/2006/custom-properties" xmlns:vt="http://schemas.openxmlformats.org/officeDocument/2006/docPropsVTypes"/>
</file>