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30.1.2017,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mohou žádat o dotaci na ekologické vytápění</w:t>
      </w:r>
    </w:p>
    <w:p>
      <w:pPr/>
      <w:r>
        <w:rPr/>
        <w:t xml:space="preserve">Obyvatelé MS kraje budou moci zažádat o dotaci na ekologické vytápění. Krajští radní na ni vyčlenili částku 55 milionů korun. Jde o peníze z Ministerstva životního prostředí a úsporu z loňského dotačního programu. </w:t>
      </w:r>
    </w:p>
    <w:p>
      <w:pPr/>
      <w:r>
        <w:rPr/>
        <w:t xml:space="preserve">Jan Krkoška (ANO 2011), náměstek primátora MS kraje: “Kotlíková výzva je doplňkový program. Je to určeno zejména na biomasu a tepelná čerpadla.”</w:t>
      </w:r>
    </w:p>
    <w:p>
      <w:pPr/>
      <w:r>
        <w:rPr/>
        <w:t xml:space="preserve">Nově vyhlášený program zahrnuje pouze výměnu starých neekologických kotlů na pevná paliva za nové zdroje vytápění, které zpracovávají obnovitelné zdroje energie. Výše dotace je 80 procent z maximální částky 150 tisíc korun. </w:t>
      </w:r>
    </w:p>
    <w:p>
      <w:pPr/>
      <w:r>
        <w:rPr/>
        <w:t xml:space="preserve">Jan Krkoška (ANO 2011), náměstek primátora MS kraje: “Oproti loňskému roku mohou obyvatelé žádat pomocí elektronického média, ale mohou o ni zažádat i zde na úřadě.”</w:t>
      </w:r>
    </w:p>
    <w:p>
      <w:pPr/>
      <w:r>
        <w:rPr/>
        <w:t xml:space="preserve">Vzhledem k omezené výši finančních prostředků bude příjem elektronických žádostí omezen na 350. Formulář bude dostupný od 1. února na internetových stránkách kraje. Tento program je ale pouze doplňkový. Lidé budou moci získat dotace na výměnu kotlů i v rámci druhé kotlíkové výzvy Ministerstva životního prostředí, která je plánována od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7160/lide-mohou-zadat-o-dotaci-na-ekologicke-vytap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2026-09-15T08:07:05+02:00</dcterms:created>
  <dcterms:modified xsi:type="dcterms:W3CDTF">2026-09-15T08:07:05+02:00</dcterms:modified>
</cp:coreProperties>
</file>

<file path=docProps/custom.xml><?xml version="1.0" encoding="utf-8"?>
<Properties xmlns="http://schemas.openxmlformats.org/officeDocument/2006/custom-properties" xmlns:vt="http://schemas.openxmlformats.org/officeDocument/2006/docPropsVTypes"/>
</file>