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nemovitostí by ve F-M mohla být nižší</w:t>
      </w:r>
    </w:p>
    <w:p>
      <w:pPr/>
      <w:r>
        <w:rPr/>
        <w:t xml:space="preserve">Frýdek-Místek už dnes patří k městům s nejnižší daní z nemovitosti. Místní koeficient, kterým lze násobit základ daně z nemovitosti je v současné chvíli na čísle 2. Vedení města chce ale tento koeficient snížit na jedničku.</w:t>
      </w:r>
    </w:p>
    <w:p>
      <w:pPr/>
      <w:r>
        <w:rPr/>
        <w:t xml:space="preserve">Jiří Kajzar (Naše město F-M), náměstek primátora města Frýdku-Místku: “Samozřejmě není to jednoduchá věc, protože se jedná o výpadek v rozpočtu ve výši přibližně 28 milionů korun. My ale věříme, že bude lepší výběr daní. V případě, že ne, musíme tuto částku ušetřit v rozpočtu.”</w:t>
      </w:r>
    </w:p>
    <w:p>
      <w:pPr/>
      <w:r>
        <w:rPr/>
        <w:t xml:space="preserve">Sníže daně z nemovistosti patří k prioritám současného vedení města, které si dalo za cíl ulevit občanům od poplatků. Už v minulosti tak například zrušilo povinnost hradit poplatek za komunální odpad za děti do tří let. Snížení koeficientu u daně z nemovitosti má být dalším krokem.</w:t>
      </w:r>
    </w:p>
    <w:p>
      <w:pPr/>
      <w:r>
        <w:rPr/>
        <w:t xml:space="preserve">Jiří Kajzar (Naše město F-M), náměstek primátora města Frýdku-Místku: “Další vývoj ukáže, jak tento výpadek bude v rozpočtu znát. Je nepříjemné, že nemáme přijmy z hazardu, které byly ve výši 40 až 50 milionů, ale o které jsme vědomě přišli. Musíme tedy lépe hospodařit, ale já si myslím, že město se s tímto výpadkem vyrovná.”</w:t>
      </w:r>
    </w:p>
    <w:p>
      <w:pPr/>
      <w:r>
        <w:rPr/>
        <w:t xml:space="preserve">Snížení místního koeficientu u daně z nemovitosti bude projdnávat zastupitelstvo v tomto roce. Pokud jej zastupitelé schválí, začne platit od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396/dan-z-nemovitosti-by-ve-fm-mohla-by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