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půjčí lidem na nákup nového kotle</w:t>
      </w:r>
    </w:p>
    <w:p>
      <w:pPr/>
      <w:r>
        <w:rPr/>
        <w:t xml:space="preserve">Až 145 tisíc korun - tolik mohou lidé na území města celkově získat na nákup nového ekologického kotle. Krajský dotační program je vyhlášen od 29. června. </w:t>
      </w:r>
    </w:p>
    <w:p>
      <w:pPr/>
      <w:r>
        <w:rPr/>
        <w:t xml:space="preserve">10.000 Kč Ostrava přispěje žadatelům s rodinným domem, pokud ovšem nedluží městu a jeho organizacím. Ti, co na nákup kotle nemají, mohou navíc zažádat o půjčku. Rozhodli o tom zastupitelé. </w:t>
      </w:r>
    </w:p>
    <w:p>
      <w:pPr/>
      <w:r>
        <w:rPr/>
        <w:t xml:space="preserve">"Zápůjčka by měla být poskytována až do 100 procent té schválené dotace z kraje. Měla by být poskytnuta žadateli až po podepsání smlouvy mezi Moravskoslezským krajem a žadatelem," vysvětluje náměstkyně primátora Ostravy Kateřina Šebestová (ANO).</w:t>
      </w:r>
    </w:p>
    <w:p>
      <w:pPr/>
      <w:r>
        <w:rPr/>
        <w:t xml:space="preserve">Magistrát musel vyřešit i zabezpečení celé transakce vůči případnému podvodu. </w:t>
      </w:r>
    </w:p>
    <w:p>
      <w:pPr/>
      <w:r>
        <w:rPr/>
        <w:t xml:space="preserve">"My jsme zavedli institut inkasa z účtu žadatele. Musí to být ze stejného bankovního účtu, který bude uveden v žádosti o dotaci pro MS kraj," dodává Kateřina Šebestová.</w:t>
      </w:r>
    </w:p>
    <w:p>
      <w:pPr/>
      <w:r>
        <w:rPr/>
        <w:t xml:space="preserve">Od 3. července startuje provoz takzvaná Kotlíková kancelář. Infocentrum, které komukoliv pomůže s podáním žádosti. Zájemci ji najdou na rohu u Mostu pionýrů v bývalém zlatnictví na Sokolské ulici. Otevřena je 2x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31/ostrava-pujci-lidem-na-nakup-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2026-07-09T17:21:22+02:00</dcterms:created>
  <dcterms:modified xsi:type="dcterms:W3CDTF">2026-07-09T17:21:22+02:00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