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Britský den pomáhá podnikatelům najít nové kontakty</w:t>
      </w:r>
    </w:p>
    <w:p>
      <w:pPr/>
      <w:r>
        <w:rPr/>
        <w:t xml:space="preserve">Britský den pořádala Britská obchodní komora. “Chceme pomoci podnikatelům a firmám v jednotlivých regionech České republiky navázat nebo prohloubit spolupráci s podnikateli ve Velké Británii,” vysvětlil manažer Britské obchodní komory Pavel Fara.</w:t>
      </w:r>
    </w:p>
    <w:p>
      <w:pPr/>
      <w:r>
        <w:rPr/>
        <w:t xml:space="preserve">Britský den je projekt, který Britská obchodní komora pořádá už čtvrtým rokem. “Jezdíme po celé České republice, teď jsme u vás v Ostravě. A máme za sebou jasné výsledky - novou spolupráci českých podnikatelů s těmi britskými. A to nás těší.”</w:t>
      </w:r>
    </w:p>
    <w:p>
      <w:pPr/>
      <w:r>
        <w:rPr/>
        <w:t xml:space="preserve">MS podnikatelé viděli také ukázky realizovaných projektů v česko-britské 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349/britsky-den-pomaha-podnikatelum-najit-nove-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2026-06-24T15:24:54+02:00</dcterms:created>
  <dcterms:modified xsi:type="dcterms:W3CDTF">2026-06-24T15:24:54+02:00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