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21.1.2018,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vyráží na veletrh MIPIM ve Francii</w:t>
      </w:r>
    </w:p>
    <w:p>
      <w:pPr/>
      <w:r>
        <w:rPr/>
        <w:t xml:space="preserve">Praha, Brno a Ostrava už podruhé ve společné expozici Czech Cities. Veletrh investičních příležitostí ve francouzském Cannes má letos 29. ročník a Ostrava je tradičním účastníkem. "Ostrava v průběhu let mění to zaměření s čím na veletrhy jezdí. V minulosti dominovaly průmyslové funkce, nabízeli jsme plochy v průmyslových zónách. Letos jednoznačně bude dominovat to, že jedeme na veletrh nabízet především volné plochy ve městě pro městské funkce, jako je rezidenční, volnočasová, pro stavbu hotelů a podobně," vysvětluje primátor Ostravy Tomáš Macura (ANO).</w:t>
      </w:r>
    </w:p>
    <w:p>
      <w:pPr/>
      <w:r>
        <w:rPr/>
        <w:t xml:space="preserve">Město vytipovalo několik lokalit v centru, hlavně proluky, u kterých už na veletrhu bude jasno o prostorových a výškových regulacích včetně dalších požadavků. Případní zájemci o investice tak získají konkrétní informace. </w:t>
      </w:r>
    </w:p>
    <w:p>
      <w:pPr/>
      <w:r>
        <w:rPr/>
        <w:t xml:space="preserve">"Na základě loňského veletrhu jsme registrovali zájem některých zahraničních i tuzemských investorů o určité plochy v centru města. Předpokládám, že tentokrát to bude ještě hojnější," dodává Macura.</w:t>
      </w:r>
    </w:p>
    <w:p>
      <w:pPr/>
      <w:r>
        <w:rPr/>
        <w:t xml:space="preserve">Město si ale i do budoucna chce vybírat. Důležitým kritériem u nových staveb by měla být například architektonická soutěž. Ostrava bude ve Francii prezentovat také svůj inovační ekosystém a potenciál, kromě toho i svou kandidaturu na Evropské zelené město 2020. Čtyřdenní veletrh začíná letos 13.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71/ostrava-znovu-vyrazi-na-veletrh-mipim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2026-07-12T00:52:24+02:00</dcterms:created>
  <dcterms:modified xsi:type="dcterms:W3CDTF">2026-07-12T00:52:24+02:00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