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peníze míří na opravu významných budov v Ostravě</w:t>
      </w:r>
    </w:p>
    <w:p>
      <w:pPr/>
      <w:r>
        <w:rPr/>
        <w:t xml:space="preserve">V minulých letech to byly přibližně 3 miliony korun, letos 5. Zastupitelé schválili nové zásady pro poskytování neinvestičních dotací. Od letoška jsou v nich kromě kulturních památek nově historicky a architektonicky významné stavby, které spoluvytvářejí obraz města. </w:t>
      </w:r>
    </w:p>
    <w:p>
      <w:pPr/>
      <w:r>
        <w:rPr/>
        <w:t xml:space="preserve">"Dovedeme si představit budovu, která třeba není památkově chráněná, není památkou, ale může stát v památkové zóně. Za nás typický příklad je restaurace Spolek. Ta je samozřejmě městská, čili město nebude žádat, ale je to přesně budova, která má výraznou fasádu, je to v místě, které je v podstatě vstupem do města, ale nejedná se o kulturní památku," vysvětluje náměstek primátora Ostravy Břetislav Riger (Ostravak).</w:t>
      </w:r>
    </w:p>
    <w:p>
      <w:pPr/>
      <w:r>
        <w:rPr/>
        <w:t xml:space="preserve">Všechny podané žádosti projdou posouzením komisí i heraldické rady města, která úspěšné žadatele doporučí ke schválení radním a zastupitelstvům. Žádosti o dotace mohou vlastníci staveb podávat od 2. března do 2. května. Jasno o rozdělení těchto peněz bude po zasedání zastupitelstva, které je v plánu 20.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609/dalsi-penize-miri-na-opravu-vyznamnych-budov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2026-07-12T00:52:28+02:00</dcterms:created>
  <dcterms:modified xsi:type="dcterms:W3CDTF">2026-07-12T00:52:28+02:00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