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13.2.2018,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Loni opět stoupl počet návštěvníků našeho kraje</w:t>
      </w:r>
    </w:p>
    <w:p>
      <w:pPr/>
      <w:r>
        <w:rPr/>
        <w:t xml:space="preserve">V roce 2017 přicestovalo do MS kraje téměř 900 tisíc návštěvníků, kteří se ubytovali v hotelech a penzionech. Je to o 80 tisíc více, než v roce předchozím. Náš region se tak stává stále vyhledávanějším a dostal se už nad celorepublikový průměr.</w:t>
      </w:r>
    </w:p>
    <w:p>
      <w:pPr/>
      <w:r>
        <w:rPr/>
        <w:t xml:space="preserve">Jan Krkoška (ANO), náměstek hejtmana MS kraje: “Cestovnímu ruchu se v roce 2017 velmi dařilo. Musím říct, že jsme předčili mé očekávání. Návštěvnost stoupla o 10 procent.”</w:t>
      </w:r>
    </w:p>
    <w:p>
      <w:pPr/>
      <w:r>
        <w:rPr/>
        <w:t xml:space="preserve">Nejvíce zahraničních turistů bylo samozřejmě od našich nejbližších sousedů, tedy ze Slovenska a Polska. Počet zahraničních turistů stoupl o 7 procent. Kromě tradičně nejnavštěvovanějších míst, jako je ostravská ZOO nebo Dolní oblast Vítkovic, je také důležité, že přibyly další tři objekty na seznam Národních kulturních památek. </w:t>
      </w:r>
    </w:p>
    <w:p>
      <w:pPr/>
      <w:r>
        <w:rPr/>
        <w:t xml:space="preserve">Lukáš Curylo (KDU-ČSL), náměstek hejtmana MS kraje: “U nás to narostlo ze 16 na 19 památek. Jsou to tři sakrální stavby. Kostel v Rudě na Rýmařovsku, bazilika minor ve Frýdku a komplex na Cvilíně.” </w:t>
      </w:r>
    </w:p>
    <w:p>
      <w:pPr/>
      <w:r>
        <w:rPr/>
        <w:t xml:space="preserve">V praxi to znamená, že pokud chce majitel národní kulturní památky provést nějaké úpravy, musí nejprve požádat o povolení krajský úřad. Mezi těmito památkami jsou hrady a zámky, památníky, technické stavby a vzácněji objekty lidové architektury.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1675/loni-opet-stoupl-pocet-navstevniku-naseho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2026-04-17T02:09:33+02:00</dcterms:created>
  <dcterms:modified xsi:type="dcterms:W3CDTF">2026-04-17T02:09:33+02:00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