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15.2.2018,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je atraktivní a vstřícná pro zahraniční investory</w:t>
      </w:r>
    </w:p>
    <w:p>
      <w:pPr/>
      <w:r>
        <w:rPr/>
        <w:t xml:space="preserve">Nejslibnější města a regiony budoucnosti pro tento a příští rok. Ostrava je mezi nimi, a to rovnou v první desítce. "Agentura Fdi, což je taková odnož Financial Times, provádí každý rok takový ranking světových nebo evropských měst z hlediska vstřícnosti k investorům. Podle toho posledního žebříčku, který byl zveřejněn před několika dny, tak Ostrava je z těch středně velkých měst mezi 200 až 500 tisíci obyvateli na celkově šesté pozici v rámci Evropy," říká primátor Ostravy Tomáš Macura (ANO). </w:t>
      </w:r>
    </w:p>
    <w:p>
      <w:pPr/>
      <w:r>
        <w:rPr/>
        <w:t xml:space="preserve">Ostrava byla v tom samém žebříčku i v předchozích letech. Před dvěma lety dosáhla deváté příčky. "Pro nás je to samozřejmě dobrá zpráva, protože jsme na špici. Za námi skončila i taková města, která dříve byla před námi, jako třeba Bilbao nebo Porto. Za námi je i Brno. Ale neberu to jako podstatný údaj, jestli je někdo pátý nebo šestý. Důležité je, že jsme skutečně v čele. Je to pro Ostravu i dobrá reklama, která se k těm investorům dostává a oni ji berou v potaz," dodává Macura.</w:t>
      </w:r>
    </w:p>
    <w:p>
      <w:pPr/>
      <w:r>
        <w:rPr/>
        <w:t xml:space="preserve">Fdi používá pro tvorbu žebříčku data z online prostředí a z dalších zdrojů. V kategorii, ve které Ostrava zabodovala, bylo přihlášeno celkem 146 subjektů.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738/ostrava-je-atraktivni-a-vstricna-pro-zahranicni-inve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2026-07-09T12:31:15+02:00</dcterms:created>
  <dcterms:modified xsi:type="dcterms:W3CDTF">2026-07-09T12:31:15+02:00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