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OKAP zvýší atraktivitu technických oborů</w:t>
      </w:r>
    </w:p>
    <w:p>
      <w:pPr/>
      <w:r>
        <w:rPr/>
        <w:t xml:space="preserve">Se začátkem nového školní roku odstartoval v září projekt Odborné, kariérové a polytechnické vzdělávání - zkráceně OKAP. Je to jeden z nejvýznamnějších podobných projektů v MS kraji za poslední léta a je zaměřený na podporu vzdělávání žáků v technických oborech, zejména strojírenských a elektrotechnických. </w:t>
      </w:r>
      <w:r>
        <w:rPr>
          <w:i w:val="1"/>
          <w:iCs w:val="1"/>
        </w:rPr>
        <w:t xml:space="preserve">"Je to obrovský komplex, který zahrnuje polytechniku, technické vzdělávání, vzdělávání pedagogů, žáků středních, základních i mateřských škol. Budeme ho realizovat až do roku 2021," </w:t>
      </w:r>
      <w:r>
        <w:rPr/>
        <w:t xml:space="preserve">vysvětluje náměstek hejtmana MS kraje Stanislav Folwarczný.</w:t>
      </w:r>
    </w:p>
    <w:p>
      <w:pPr/>
      <w:r>
        <w:rPr/>
        <w:t xml:space="preserve">Projekt OKAP si klade za cíl zvýšit uplatnitelnost absolventů středních škol na trhu práce. Jeho součástí je modernizace učeben a dílen. Důraz je kladen i na profesní růst pedagogů. </w:t>
      </w:r>
      <w:r>
        <w:rPr>
          <w:i w:val="1"/>
          <w:iCs w:val="1"/>
        </w:rPr>
        <w:t xml:space="preserve">"Projekt běží druhý měsíc. Jeho součástí je i zřízení šachových kroužků. Je o ně obrovský zájem," </w:t>
      </w:r>
      <w:r>
        <w:rPr/>
        <w:t xml:space="preserve"> dodává Folwarczný.</w:t>
      </w:r>
    </w:p>
    <w:p>
      <w:pPr/>
      <w:r>
        <w:rPr/>
        <w:t xml:space="preserve">Kromě 13 středních škol je do projektu zapojena i Dolní oblast Vítkovice - Svět techniky, Ostravská universita nebo například ZOO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89/projekt-okap-zvysi-atraktivitu-techni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2026-04-15T19:59:51+02:00</dcterms:created>
  <dcterms:modified xsi:type="dcterms:W3CDTF">2026-04-15T19:59:51+02:00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