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bytového fondu přes 250 milionů</w:t>
      </w:r>
    </w:p>
    <w:p>
      <w:pPr/>
      <w:r>
        <w:rPr/>
        <w:t xml:space="preserve">Každý kdo platí nájem očekává, že se bude vlastník o svůj bytový fond řádně starat. Radnice v Havířově má ve vlastnictví více než 7,5 tisíce bytů. V loňském roce Městská realitní agentura investovala 113 milionů do komplexních sanací několika panelových domů.</w:t>
      </w:r>
    </w:p>
    <w:p>
      <w:pPr/>
      <w:r>
        <w:rPr/>
        <w:t xml:space="preserve">"Byly mezi nimi domy, kde se od počátku nedělaly opravy, kde byla v dezolátním stavu střecha, nebyla vyměněná okna, byl v havarijním stavu výtah. Ty domy si zasloužily kompletní rekonstrukci,” řekla mluvčí společnosti MRA Simona Součková.</w:t>
      </w:r>
    </w:p>
    <w:p>
      <w:pPr/>
      <w:r>
        <w:rPr/>
        <w:t xml:space="preserve">“Je to výborná věc, že se to renovuje. Já sám bydlím v opraveném domě,” řekl nájemník.</w:t>
      </w:r>
    </w:p>
    <w:p>
      <w:pPr/>
      <w:r>
        <w:rPr/>
        <w:t xml:space="preserve">Dalších 140 milionů korun pak stály dílčí opravy a údržba. </w:t>
      </w:r>
    </w:p>
    <w:p>
      <w:pPr/>
      <w:r>
        <w:rPr/>
        <w:t xml:space="preserve">”Důležitá je spolupráce mezi nájemci a správci, kdy správce přenese investičnímu oddělení podnět k tomu, co nájemník v bytě potřebuje vyměnit,” doplnil za společnost Adam Langer.</w:t>
      </w:r>
    </w:p>
    <w:p>
      <w:pPr/>
      <w:r>
        <w:rPr/>
        <w:t xml:space="preserve">“Zrovna si jdu připlatit, protože nám budou vyměňovat sporáky a já chci sklokeramiku. Jinak jsme tam spokojeni,” řekla nájemnice.</w:t>
      </w:r>
    </w:p>
    <w:p>
      <w:pPr/>
      <w:r>
        <w:rPr/>
        <w:t xml:space="preserve">Velké starosti začínají dělat společnosti výtahy. Ty jsou ve špatném technickém stavu. Jejich oprava či výměna bude stát rovněž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44/havirov-investoval-do-bytoveho-fondu-pres-2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2026-04-21T03:07:34+02:00</dcterms:created>
  <dcterms:modified xsi:type="dcterms:W3CDTF">2026-04-21T03:07:34+02:00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