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mohou získat bezúročnou půjčku na nový kotel</w:t>
      </w:r>
    </w:p>
    <w:p>
      <w:pPr/>
      <w:r>
        <w:rPr/>
        <w:t xml:space="preserve">Pokud bude takto někdo neekologicky topit po roce 2022, může počítat s tučnou pokutou až do výše 50 tisíc korun. Výměna kotlů, ale není levnou záležitostí. To si uvědomuje ministerstvo životního prostředí, kraj a i radnice. Na třetí kolo kotlíkových dotací s možností půjčky se připravují i v Havířově.</w:t>
      </w:r>
    </w:p>
    <w:p>
      <w:pPr/>
      <w:r>
        <w:rPr/>
        <w:t xml:space="preserve">“Chceme zlepšit životní prostředí. Chceme, aby bylo méně emisí a lokální topeniště se vysokou měrou podílejí na znečištění ovzduší. Rádi bychom využili této příležitosti, kde navíc oproti dotacím na výměnu kotle, bude i možnost bezúročných půjček,” řekl náměstek havířovského primátora Bohuslav Niemiec (KDU-ČSL).</w:t>
      </w:r>
    </w:p>
    <w:p>
      <w:pPr/>
      <w:r>
        <w:rPr/>
        <w:t xml:space="preserve">Bezúročnou půjčku až do výše 200 tisíc korun budou muset zájemci splatit do deseti let.</w:t>
      </w:r>
    </w:p>
    <w:p>
      <w:pPr/>
      <w:r>
        <w:rPr/>
        <w:t xml:space="preserve">“Určitě bych to využil, protože ještě nemáme vyměněný kotel a právě se na to chystáme. Každému pomůže taková půjčka,” řekl místní obyvatel.</w:t>
      </w:r>
    </w:p>
    <w:p>
      <w:pPr/>
      <w:r>
        <w:rPr/>
        <w:t xml:space="preserve">“Je to dobrá věc, protože životní prostředí je tady strašné a každá pomoc je dobrá,” dodal jiný domkař.</w:t>
      </w:r>
    </w:p>
    <w:p>
      <w:pPr/>
      <w:r>
        <w:rPr/>
        <w:t xml:space="preserve">V první a druhé výzvě využilo kotlíkové dotace zhruba 150 domkařů. Radnice věří, že díky půjčce se počet značně navýší.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27/domkari-mohou-ziskat-bezurocnou-pujcku-na-novy-k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2026-04-19T12:13:55+02:00</dcterms:created>
  <dcterms:modified xsi:type="dcterms:W3CDTF">2026-04-19T12:13:55+02:00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