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11.3.2019,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p>
      <w:pPr/>
      <w:r>
        <w:rPr/>
        <w:t xml:space="preserve">Na novojičínské radnici zavlála v neděli 10. března tibetská vlajka. Město se tak i letos připojilo k mezinárodní kampani, která poukazuje na porušování lidských práv v Tibetu. Vlajku vyvěšuje pravidelně od roku 2003.</w:t>
      </w:r>
    </w:p>
    <w:p>
      <w:pPr/>
      <w:r>
        <w:rPr/>
        <w:t xml:space="preserve">*</w:t>
      </w:r>
    </w:p>
    <w:p>
      <w:pPr/>
      <w:r>
        <w:rPr/>
        <w:t xml:space="preserve">Divizní fotbalisté Nového Jičína přezimovali na druhém místě tabulky. Po přípravných zápasech teď mají na programu první utkání jarního kola, a to v sobotu 16. března. Od 15 hodin přivítají doma celek Opavy B.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545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2026-04-30T06:15:07+02:00</dcterms:created>
  <dcterms:modified xsi:type="dcterms:W3CDTF">2026-04-30T06:15:07+02:00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